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A3" w:rsidRDefault="00E154E7">
      <w:pPr>
        <w:tabs>
          <w:tab w:val="center" w:pos="4252"/>
        </w:tabs>
        <w:autoSpaceDE w:val="0"/>
        <w:autoSpaceDN w:val="0"/>
        <w:adjustRightInd w:val="0"/>
        <w:spacing w:line="360" w:lineRule="auto"/>
        <w:rPr>
          <w:rFonts w:ascii="方正大标宋简体" w:eastAsia="方正大标宋简体"/>
          <w:color w:val="FF0000"/>
          <w:w w:val="66"/>
          <w:sz w:val="72"/>
          <w:szCs w:val="72"/>
        </w:rPr>
      </w:pPr>
      <w:bookmarkStart w:id="0" w:name="_GoBack"/>
      <w:bookmarkEnd w:id="0"/>
      <w:r>
        <w:rPr>
          <w:rFonts w:ascii="宋体" w:eastAsia="宋体" w:hAnsi="宋体" w:cs="宋体" w:hint="eastAsia"/>
          <w:b/>
          <w:color w:val="000000"/>
          <w:sz w:val="28"/>
          <w:szCs w:val="28"/>
        </w:rPr>
        <w:t>附件2.</w:t>
      </w:r>
    </w:p>
    <w:p w:rsidR="00D776A3" w:rsidRDefault="00E154E7">
      <w:pPr>
        <w:pStyle w:val="a4"/>
        <w:spacing w:line="840" w:lineRule="exact"/>
        <w:rPr>
          <w:rFonts w:ascii="方正大标宋简体" w:eastAsia="方正大标宋简体"/>
          <w:color w:val="FF0000"/>
          <w:w w:val="66"/>
          <w:sz w:val="72"/>
          <w:szCs w:val="72"/>
          <w:lang w:eastAsia="zh-CN"/>
        </w:rPr>
      </w:pPr>
      <w:r>
        <w:rPr>
          <w:rFonts w:ascii="方正大标宋简体" w:eastAsia="方正大标宋简体" w:hint="eastAsia"/>
          <w:color w:val="FF0000"/>
          <w:w w:val="66"/>
          <w:sz w:val="72"/>
          <w:szCs w:val="72"/>
          <w:lang w:eastAsia="zh-CN"/>
        </w:rPr>
        <w:t xml:space="preserve"> 中国教育工会浙江师范大学委员会文件</w:t>
      </w:r>
    </w:p>
    <w:p w:rsidR="00D776A3" w:rsidRDefault="00D776A3">
      <w:pPr>
        <w:pStyle w:val="a4"/>
        <w:spacing w:line="240" w:lineRule="exact"/>
        <w:rPr>
          <w:color w:val="FF0000"/>
          <w:sz w:val="21"/>
          <w:szCs w:val="21"/>
          <w:lang w:eastAsia="zh-CN"/>
        </w:rPr>
      </w:pPr>
    </w:p>
    <w:p w:rsidR="00D776A3" w:rsidRDefault="00D776A3">
      <w:pPr>
        <w:pStyle w:val="a4"/>
        <w:spacing w:line="240" w:lineRule="exact"/>
        <w:rPr>
          <w:color w:val="FF0000"/>
          <w:sz w:val="21"/>
          <w:szCs w:val="21"/>
          <w:lang w:eastAsia="zh-CN"/>
        </w:rPr>
      </w:pPr>
    </w:p>
    <w:p w:rsidR="00D776A3" w:rsidRDefault="00D776A3">
      <w:pPr>
        <w:pStyle w:val="a4"/>
        <w:spacing w:line="240" w:lineRule="exact"/>
        <w:rPr>
          <w:color w:val="FF0000"/>
          <w:sz w:val="21"/>
          <w:szCs w:val="21"/>
          <w:lang w:eastAsia="zh-CN"/>
        </w:rPr>
      </w:pPr>
    </w:p>
    <w:p w:rsidR="00D776A3" w:rsidRDefault="00D776A3">
      <w:pPr>
        <w:pStyle w:val="a4"/>
        <w:spacing w:line="240" w:lineRule="exact"/>
        <w:rPr>
          <w:color w:val="FF0000"/>
          <w:sz w:val="21"/>
          <w:szCs w:val="21"/>
          <w:lang w:eastAsia="zh-CN"/>
        </w:rPr>
      </w:pPr>
    </w:p>
    <w:p w:rsidR="00D776A3" w:rsidRDefault="00E154E7">
      <w:pPr>
        <w:widowControl/>
        <w:jc w:val="center"/>
        <w:rPr>
          <w:color w:val="FF0000"/>
          <w:szCs w:val="21"/>
        </w:rPr>
      </w:pPr>
      <w:r>
        <w:rPr>
          <w:rFonts w:ascii="仿宋" w:eastAsia="仿宋" w:hAnsi="仿宋" w:cs="微软雅黑" w:hint="eastAsia"/>
          <w:color w:val="000000"/>
          <w:spacing w:val="-4"/>
          <w:kern w:val="0"/>
          <w:sz w:val="32"/>
          <w:szCs w:val="32"/>
        </w:rPr>
        <w:t>浙师工〔</w:t>
      </w:r>
      <w:r>
        <w:rPr>
          <w:rFonts w:ascii="仿宋" w:eastAsia="仿宋" w:hAnsi="仿宋" w:hint="eastAsia"/>
          <w:color w:val="000000"/>
          <w:spacing w:val="-4"/>
          <w:kern w:val="0"/>
          <w:sz w:val="32"/>
          <w:szCs w:val="32"/>
        </w:rPr>
        <w:t>2024</w:t>
      </w:r>
      <w:r>
        <w:rPr>
          <w:rFonts w:ascii="仿宋" w:eastAsia="仿宋" w:hAnsi="仿宋" w:cs="微软雅黑" w:hint="eastAsia"/>
          <w:color w:val="000000"/>
          <w:spacing w:val="-4"/>
          <w:kern w:val="0"/>
          <w:sz w:val="32"/>
          <w:szCs w:val="32"/>
        </w:rPr>
        <w:t>〕</w:t>
      </w:r>
      <w:r>
        <w:rPr>
          <w:rFonts w:ascii="仿宋" w:eastAsia="仿宋" w:hAnsi="仿宋" w:hint="eastAsia"/>
          <w:color w:val="000000"/>
          <w:spacing w:val="-4"/>
          <w:kern w:val="0"/>
          <w:sz w:val="32"/>
          <w:szCs w:val="32"/>
        </w:rPr>
        <w:t>6</w:t>
      </w:r>
      <w:r>
        <w:rPr>
          <w:rFonts w:ascii="仿宋" w:eastAsia="仿宋" w:hAnsi="仿宋" w:cs="微软雅黑" w:hint="eastAsia"/>
          <w:color w:val="000000"/>
          <w:spacing w:val="-4"/>
          <w:kern w:val="0"/>
          <w:sz w:val="32"/>
          <w:szCs w:val="32"/>
        </w:rPr>
        <w:t>号</w:t>
      </w:r>
    </w:p>
    <w:p w:rsidR="00D776A3" w:rsidRDefault="00D776A3">
      <w:pPr>
        <w:pStyle w:val="a4"/>
        <w:spacing w:line="240" w:lineRule="exact"/>
        <w:rPr>
          <w:color w:val="FF0000"/>
          <w:sz w:val="21"/>
          <w:szCs w:val="21"/>
        </w:rPr>
      </w:pPr>
    </w:p>
    <w:p w:rsidR="00D776A3" w:rsidRDefault="00D776A3">
      <w:pPr>
        <w:pStyle w:val="a4"/>
        <w:spacing w:line="240" w:lineRule="exact"/>
        <w:rPr>
          <w:color w:val="FF0000"/>
          <w:sz w:val="21"/>
          <w:szCs w:val="21"/>
        </w:rPr>
      </w:pPr>
    </w:p>
    <w:tbl>
      <w:tblPr>
        <w:tblW w:w="9720" w:type="dxa"/>
        <w:tblInd w:w="-252" w:type="dxa"/>
        <w:tblBorders>
          <w:top w:val="single" w:sz="18" w:space="0" w:color="auto"/>
        </w:tblBorders>
        <w:tblLook w:val="04A0" w:firstRow="1" w:lastRow="0" w:firstColumn="1" w:lastColumn="0" w:noHBand="0" w:noVBand="1"/>
      </w:tblPr>
      <w:tblGrid>
        <w:gridCol w:w="9720"/>
      </w:tblGrid>
      <w:tr w:rsidR="00D776A3">
        <w:trPr>
          <w:trHeight w:val="100"/>
        </w:trPr>
        <w:tc>
          <w:tcPr>
            <w:tcW w:w="9720" w:type="dxa"/>
            <w:tcBorders>
              <w:top w:val="single" w:sz="24" w:space="0" w:color="FF0000"/>
              <w:left w:val="nil"/>
              <w:bottom w:val="nil"/>
              <w:right w:val="nil"/>
            </w:tcBorders>
          </w:tcPr>
          <w:p w:rsidR="00D776A3" w:rsidRDefault="00D776A3">
            <w:pPr>
              <w:pStyle w:val="a4"/>
              <w:spacing w:line="240" w:lineRule="exact"/>
              <w:rPr>
                <w:color w:val="FF0000"/>
                <w:sz w:val="21"/>
                <w:szCs w:val="21"/>
              </w:rPr>
            </w:pPr>
          </w:p>
        </w:tc>
      </w:tr>
    </w:tbl>
    <w:p w:rsidR="00D776A3" w:rsidRDefault="00D776A3">
      <w:pPr>
        <w:pStyle w:val="a4"/>
        <w:spacing w:line="240" w:lineRule="exact"/>
        <w:rPr>
          <w:color w:val="FF0000"/>
          <w:sz w:val="21"/>
          <w:szCs w:val="21"/>
        </w:rPr>
      </w:pPr>
    </w:p>
    <w:p w:rsidR="00D776A3" w:rsidRDefault="00D776A3">
      <w:pPr>
        <w:pStyle w:val="a4"/>
        <w:spacing w:line="240" w:lineRule="exact"/>
        <w:rPr>
          <w:color w:val="FF0000"/>
          <w:sz w:val="21"/>
          <w:szCs w:val="21"/>
        </w:rPr>
      </w:pPr>
    </w:p>
    <w:p w:rsidR="00D776A3" w:rsidRDefault="00D776A3"/>
    <w:p w:rsidR="00D776A3" w:rsidRDefault="00D776A3"/>
    <w:p w:rsidR="00D776A3" w:rsidRDefault="00E154E7">
      <w:pPr>
        <w:pStyle w:val="a4"/>
        <w:spacing w:line="240" w:lineRule="exact"/>
        <w:rPr>
          <w:rFonts w:ascii="方正小标宋简体"/>
          <w:color w:val="FF0000"/>
          <w:sz w:val="21"/>
          <w:szCs w:val="21"/>
        </w:rPr>
      </w:pPr>
      <w:r>
        <w:rPr>
          <w:rFonts w:ascii="方正小标宋简体" w:hint="eastAsia"/>
          <w:color w:val="FF0000"/>
          <w:sz w:val="21"/>
          <w:szCs w:val="21"/>
        </w:rPr>
        <w:t xml:space="preserve"> </w:t>
      </w:r>
    </w:p>
    <w:p w:rsidR="00D776A3" w:rsidRDefault="00E154E7">
      <w:pPr>
        <w:adjustRightInd w:val="0"/>
        <w:snapToGrid w:val="0"/>
        <w:spacing w:line="640" w:lineRule="exact"/>
        <w:jc w:val="center"/>
        <w:rPr>
          <w:rFonts w:ascii="方正小标宋简体" w:eastAsia="方正小标宋简体" w:hAnsi="楷体" w:cs="仿宋"/>
          <w:kern w:val="0"/>
          <w:sz w:val="44"/>
          <w:szCs w:val="44"/>
        </w:rPr>
      </w:pPr>
      <w:r>
        <w:rPr>
          <w:rFonts w:ascii="方正小标宋简体" w:eastAsia="方正小标宋简体" w:hAnsi="楷体" w:cs="仿宋" w:hint="eastAsia"/>
          <w:kern w:val="0"/>
          <w:sz w:val="44"/>
          <w:szCs w:val="44"/>
        </w:rPr>
        <w:t>中国教育工会浙江师范大学委员会</w:t>
      </w:r>
    </w:p>
    <w:p w:rsidR="00D776A3" w:rsidRDefault="00E154E7">
      <w:pPr>
        <w:adjustRightInd w:val="0"/>
        <w:snapToGrid w:val="0"/>
        <w:spacing w:line="640" w:lineRule="exact"/>
        <w:jc w:val="center"/>
        <w:rPr>
          <w:rFonts w:ascii="方正小标宋简体" w:eastAsia="方正小标宋简体" w:hAnsi="宋体" w:cs="仿宋"/>
          <w:kern w:val="0"/>
          <w:sz w:val="44"/>
          <w:szCs w:val="44"/>
        </w:rPr>
      </w:pPr>
      <w:r>
        <w:rPr>
          <w:rFonts w:ascii="方正小标宋简体" w:eastAsia="方正小标宋简体" w:hAnsi="宋体" w:cs="仿宋" w:hint="eastAsia"/>
          <w:kern w:val="0"/>
          <w:sz w:val="44"/>
          <w:szCs w:val="44"/>
        </w:rPr>
        <w:t>关于进一步加强教职工疗休养管理工作的实施意见</w:t>
      </w:r>
    </w:p>
    <w:p w:rsidR="00D776A3" w:rsidRDefault="00D776A3">
      <w:pPr>
        <w:pStyle w:val="a4"/>
        <w:spacing w:line="240" w:lineRule="exact"/>
        <w:rPr>
          <w:rFonts w:ascii="方正小标宋简体"/>
          <w:color w:val="FF0000"/>
          <w:sz w:val="21"/>
          <w:szCs w:val="21"/>
          <w:lang w:eastAsia="zh-CN"/>
        </w:rPr>
      </w:pPr>
    </w:p>
    <w:p w:rsidR="00D776A3" w:rsidRDefault="00D776A3">
      <w:pPr>
        <w:pStyle w:val="a4"/>
        <w:spacing w:line="240" w:lineRule="exact"/>
        <w:rPr>
          <w:rFonts w:ascii="方正小标宋简体"/>
          <w:color w:val="FF0000"/>
          <w:sz w:val="21"/>
          <w:szCs w:val="21"/>
          <w:lang w:eastAsia="zh-CN"/>
        </w:rPr>
      </w:pPr>
    </w:p>
    <w:p w:rsidR="00D776A3" w:rsidRDefault="00E154E7">
      <w:pPr>
        <w:adjustRightInd w:val="0"/>
        <w:snapToGrid w:val="0"/>
        <w:spacing w:line="540" w:lineRule="exact"/>
        <w:rPr>
          <w:rFonts w:ascii="仿宋" w:eastAsia="仿宋" w:hAnsi="仿宋" w:cs="方正仿宋_GB2312"/>
          <w:kern w:val="0"/>
          <w:sz w:val="32"/>
          <w:szCs w:val="32"/>
        </w:rPr>
      </w:pPr>
      <w:r>
        <w:rPr>
          <w:rFonts w:ascii="仿宋" w:eastAsia="仿宋" w:hAnsi="仿宋" w:cs="方正仿宋_GB2312" w:hint="eastAsia"/>
          <w:kern w:val="0"/>
          <w:sz w:val="32"/>
          <w:szCs w:val="32"/>
        </w:rPr>
        <w:t>各二级工会：</w:t>
      </w:r>
    </w:p>
    <w:p w:rsidR="00D776A3" w:rsidRDefault="00E154E7">
      <w:pPr>
        <w:widowControl/>
        <w:adjustRightInd w:val="0"/>
        <w:snapToGrid w:val="0"/>
        <w:spacing w:line="560" w:lineRule="exact"/>
        <w:ind w:firstLineChars="200" w:firstLine="640"/>
        <w:rPr>
          <w:rFonts w:ascii="仿宋" w:eastAsia="仿宋" w:hAnsi="仿宋" w:cs="方正仿宋_GB2312"/>
          <w:kern w:val="0"/>
          <w:sz w:val="32"/>
          <w:szCs w:val="32"/>
        </w:rPr>
      </w:pPr>
      <w:r>
        <w:rPr>
          <w:rFonts w:ascii="仿宋" w:eastAsia="仿宋" w:hAnsi="仿宋" w:cs="方正仿宋_GB2312" w:hint="eastAsia"/>
          <w:kern w:val="0"/>
          <w:sz w:val="32"/>
          <w:szCs w:val="32"/>
        </w:rPr>
        <w:t>为进一步规范和加强我校教职工疗休养管理工作，更好地保障教职工疗休养权利，增进教职工身心健康，激发广大教职工以更饱满的热情服务于我校</w:t>
      </w:r>
      <w:r>
        <w:rPr>
          <w:rFonts w:ascii="仿宋" w:eastAsia="仿宋" w:hAnsi="仿宋" w:cs="方正仿宋_GB2312" w:hint="eastAsia"/>
          <w:sz w:val="32"/>
          <w:szCs w:val="32"/>
        </w:rPr>
        <w:t>实现“争A创一流”目标和高水平大学建设</w:t>
      </w:r>
      <w:r>
        <w:rPr>
          <w:rFonts w:ascii="仿宋" w:eastAsia="仿宋" w:hAnsi="仿宋" w:cs="方正仿宋_GB2312" w:hint="eastAsia"/>
          <w:kern w:val="0"/>
          <w:sz w:val="32"/>
          <w:szCs w:val="32"/>
        </w:rPr>
        <w:t>，根据</w:t>
      </w:r>
      <w:r>
        <w:rPr>
          <w:rFonts w:ascii="仿宋" w:eastAsia="仿宋" w:hAnsi="仿宋" w:cs="仿宋_GB2312" w:hint="eastAsia"/>
          <w:sz w:val="32"/>
          <w:szCs w:val="32"/>
        </w:rPr>
        <w:t>《</w:t>
      </w:r>
      <w:r>
        <w:rPr>
          <w:rFonts w:ascii="仿宋" w:eastAsia="仿宋" w:hAnsi="仿宋" w:cs="方正仿宋_GB2312" w:hint="eastAsia"/>
          <w:kern w:val="0"/>
          <w:sz w:val="32"/>
          <w:szCs w:val="32"/>
        </w:rPr>
        <w:t>关</w:t>
      </w:r>
      <w:r>
        <w:rPr>
          <w:rFonts w:ascii="仿宋" w:eastAsia="仿宋" w:hAnsi="仿宋" w:cs="方正仿宋_GB2312" w:hint="eastAsia"/>
          <w:color w:val="000000"/>
          <w:kern w:val="0"/>
          <w:sz w:val="32"/>
          <w:szCs w:val="32"/>
        </w:rPr>
        <w:t>于调整职工疗休养政策的通知》（浙总工办发〔2020〕46 号）、</w:t>
      </w:r>
      <w:r>
        <w:rPr>
          <w:rFonts w:ascii="仿宋" w:eastAsia="仿宋" w:hAnsi="仿宋" w:cs="方正仿宋_GB2312" w:hint="eastAsia"/>
          <w:kern w:val="0"/>
          <w:sz w:val="32"/>
          <w:szCs w:val="32"/>
        </w:rPr>
        <w:t>《关于做好2024年度浙江省教职工疗休养工作的通知》（浙教工﹝2024﹞7号）、《关于加强教职工疗休养管理工作的实施意见》（浙师工〔2019〕28号）等文件精神，结合我校实际，制定本实施意见。</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一、疗休养的组织管理</w:t>
      </w:r>
    </w:p>
    <w:p w:rsidR="00D776A3" w:rsidRDefault="00E154E7">
      <w:pPr>
        <w:adjustRightInd w:val="0"/>
        <w:snapToGrid w:val="0"/>
        <w:spacing w:line="540" w:lineRule="exact"/>
        <w:ind w:firstLineChars="200" w:firstLine="640"/>
        <w:rPr>
          <w:rFonts w:ascii="仿宋" w:eastAsia="仿宋" w:hAnsi="仿宋" w:cs="方正仿宋_GB2312"/>
          <w:kern w:val="0"/>
          <w:sz w:val="32"/>
          <w:szCs w:val="32"/>
        </w:rPr>
      </w:pPr>
      <w:r>
        <w:rPr>
          <w:rFonts w:ascii="仿宋" w:eastAsia="仿宋" w:hAnsi="仿宋" w:cs="方正仿宋_GB2312" w:hint="eastAsia"/>
          <w:bCs/>
          <w:kern w:val="0"/>
          <w:sz w:val="32"/>
          <w:szCs w:val="32"/>
        </w:rPr>
        <w:t>校工会是全校教职工疗休养工作的管理单位，负责上级相关政</w:t>
      </w:r>
      <w:r>
        <w:rPr>
          <w:rFonts w:ascii="仿宋" w:eastAsia="仿宋" w:hAnsi="仿宋" w:cs="方正仿宋_GB2312" w:hint="eastAsia"/>
          <w:bCs/>
          <w:kern w:val="0"/>
          <w:sz w:val="32"/>
          <w:szCs w:val="32"/>
        </w:rPr>
        <w:lastRenderedPageBreak/>
        <w:t>策的执行及本校相关规定的制定与实施指导。</w:t>
      </w:r>
      <w:r>
        <w:rPr>
          <w:rFonts w:ascii="仿宋" w:eastAsia="仿宋" w:hAnsi="仿宋" w:cs="方正仿宋_GB2312" w:hint="eastAsia"/>
          <w:kern w:val="0"/>
          <w:sz w:val="32"/>
          <w:szCs w:val="32"/>
        </w:rPr>
        <w:t>各二级工会承担本单位教职工疗休养的计划和组织实施。跨省疗休养活动采取统一组织集体出行方式开展，省内疗休养活动可采取统一组织集体出行方式或采用自由组团的方式，在我省省域范围内，分批次、分时段通过承办单位开展疗休养活动。教职工可在疗休养管理系统中自由选择既定线路，负责线路组织实施的二级工会确定领队，负责做好疗休养团队的组织管理和有关服务工作。教职工疗休养活动由校、院统一组织，个人独自出行的活动不能纳入其中。</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二、疗休养对象</w:t>
      </w:r>
    </w:p>
    <w:p w:rsidR="00D776A3" w:rsidRDefault="00E154E7">
      <w:pPr>
        <w:widowControl/>
        <w:spacing w:line="560" w:lineRule="exact"/>
        <w:ind w:firstLineChars="200" w:firstLine="640"/>
        <w:jc w:val="left"/>
        <w:rPr>
          <w:rFonts w:ascii="仿宋" w:eastAsia="仿宋" w:hAnsi="仿宋" w:cs="方正仿宋_GB2312"/>
          <w:kern w:val="0"/>
          <w:sz w:val="32"/>
          <w:szCs w:val="32"/>
        </w:rPr>
      </w:pPr>
      <w:r>
        <w:rPr>
          <w:rFonts w:ascii="仿宋" w:eastAsia="仿宋" w:hAnsi="仿宋" w:cs="方正仿宋_GB2312" w:hint="eastAsia"/>
          <w:kern w:val="0"/>
          <w:sz w:val="32"/>
          <w:szCs w:val="32"/>
        </w:rPr>
        <w:t xml:space="preserve">教职工疗休养属集体福利，本校在职在编教职工均可享受（退休教职工可参加荣休当年的疗休养活动；新进教职工可参加进校当年的疗休养活动，6月30日及之前报到的可享受全额疗休养经费，之后报到的可享受一半疗休养经费）。在外挂职教职工（一年及以上者），经校工会同意，可参加挂职单位统一组织的疗休养活动，届时凭疗休养合同及正规发票等有效凭据在规定金额内报销。遵循自愿的原则，对未参加疗休养活动的教职工，不能以任何形式给予补偿。教职工家属 (仅限配偶和子女)可随同教职工本人参加疗休养活动，并须单独与疗休养承接旅行社签订旅游合同，费用自理，责任自负。 </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三、疗休养地点</w:t>
      </w:r>
    </w:p>
    <w:p w:rsidR="00D776A3" w:rsidRDefault="00E154E7">
      <w:pPr>
        <w:adjustRightInd w:val="0"/>
        <w:snapToGrid w:val="0"/>
        <w:spacing w:line="540" w:lineRule="exact"/>
        <w:ind w:firstLineChars="200" w:firstLine="640"/>
        <w:rPr>
          <w:rFonts w:ascii="仿宋" w:eastAsia="仿宋" w:hAnsi="仿宋" w:cs="方正仿宋_GB2312"/>
          <w:color w:val="000000"/>
          <w:sz w:val="32"/>
          <w:szCs w:val="32"/>
        </w:rPr>
      </w:pPr>
      <w:r>
        <w:rPr>
          <w:rFonts w:ascii="仿宋" w:eastAsia="仿宋" w:hAnsi="仿宋" w:cs="方正仿宋_GB2312" w:hint="eastAsia"/>
          <w:kern w:val="0"/>
          <w:sz w:val="32"/>
          <w:szCs w:val="32"/>
        </w:rPr>
        <w:t>疗休养活动的开展主要立足本省，也可</w:t>
      </w:r>
      <w:r>
        <w:rPr>
          <w:rFonts w:ascii="仿宋" w:eastAsia="仿宋" w:hAnsi="仿宋" w:cs="方正仿宋_GB2312" w:hint="eastAsia"/>
          <w:color w:val="000000"/>
          <w:sz w:val="32"/>
          <w:szCs w:val="32"/>
        </w:rPr>
        <w:t>按照规定组织教职工到邻省（上海、江苏、安徽、江西、福建）、 对口帮扶（援助、合作）地区（新疆，西藏，四川，吉林，青海省海西州，重庆市涪陵区、万州区，湖北省恩施州、黄冈市）开展教职工疗休养活动。校工会支持符合条件的旅行社、疗休养基地等市场主体依法依规承接</w:t>
      </w:r>
      <w:r>
        <w:rPr>
          <w:rFonts w:ascii="仿宋" w:eastAsia="仿宋" w:hAnsi="仿宋" w:cs="方正仿宋_GB2312" w:hint="eastAsia"/>
          <w:color w:val="000000"/>
          <w:sz w:val="32"/>
          <w:szCs w:val="32"/>
        </w:rPr>
        <w:lastRenderedPageBreak/>
        <w:t>疗休养业务，提升疗休养活动组织水平，助力推进文旅深度融合工程；引导各</w:t>
      </w:r>
      <w:r>
        <w:rPr>
          <w:rFonts w:ascii="仿宋" w:eastAsia="仿宋" w:hAnsi="仿宋" w:cs="方正仿宋_GB2312" w:hint="eastAsia"/>
          <w:kern w:val="0"/>
          <w:sz w:val="32"/>
          <w:szCs w:val="32"/>
        </w:rPr>
        <w:t>二级工会</w:t>
      </w:r>
      <w:r>
        <w:rPr>
          <w:rFonts w:ascii="仿宋" w:eastAsia="仿宋" w:hAnsi="仿宋" w:cs="方正仿宋_GB2312" w:hint="eastAsia"/>
          <w:color w:val="000000"/>
          <w:sz w:val="32"/>
          <w:szCs w:val="32"/>
        </w:rPr>
        <w:t>加强协作交流，持续推进疗休养事业山海协作、城乡合作，鼓励教职工到山区海岛26县开展疗休养活动，推进山区海岛26县高质量发展，让疗休养资源要素在全省范围畅通流动，积极助力共同富裕。</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四、疗休养周期</w:t>
      </w:r>
    </w:p>
    <w:p w:rsidR="00D776A3" w:rsidRDefault="00E154E7">
      <w:pPr>
        <w:adjustRightInd w:val="0"/>
        <w:snapToGrid w:val="0"/>
        <w:spacing w:line="540" w:lineRule="exact"/>
        <w:ind w:firstLineChars="200" w:firstLine="640"/>
        <w:rPr>
          <w:rFonts w:ascii="仿宋" w:eastAsia="仿宋" w:hAnsi="仿宋" w:cs="方正仿宋_GB2312"/>
          <w:color w:val="000000"/>
          <w:sz w:val="32"/>
          <w:szCs w:val="32"/>
        </w:rPr>
      </w:pPr>
      <w:r>
        <w:rPr>
          <w:rFonts w:ascii="仿宋" w:eastAsia="仿宋" w:hAnsi="仿宋" w:cs="方正仿宋_GB2312" w:hint="eastAsia"/>
          <w:color w:val="000000"/>
          <w:sz w:val="32"/>
          <w:szCs w:val="32"/>
        </w:rPr>
        <w:t>教职工每年可享受疗休养待遇。严格控制跨省疗休养人数，组织跨省疗休养教职工人数不超过本单位参加疗休养教职工总数的三分之一，跨省疗休养参加对象三年内不重复安排，学校本次三年周期约定为：2024年、2025年与2026年。</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五、疗休养内容</w:t>
      </w:r>
    </w:p>
    <w:p w:rsidR="00D776A3" w:rsidRDefault="00E154E7">
      <w:pPr>
        <w:adjustRightInd w:val="0"/>
        <w:snapToGrid w:val="0"/>
        <w:spacing w:line="540" w:lineRule="exact"/>
        <w:ind w:firstLineChars="200" w:firstLine="640"/>
        <w:rPr>
          <w:rFonts w:ascii="仿宋" w:eastAsia="仿宋" w:hAnsi="仿宋" w:cs="方正仿宋_GB2312"/>
          <w:kern w:val="0"/>
          <w:sz w:val="32"/>
          <w:szCs w:val="32"/>
          <w:lang w:bidi="ar"/>
        </w:rPr>
      </w:pPr>
      <w:r>
        <w:rPr>
          <w:rFonts w:ascii="仿宋" w:eastAsia="仿宋" w:hAnsi="仿宋" w:cs="方正仿宋_GB2312" w:hint="eastAsia"/>
          <w:kern w:val="0"/>
          <w:sz w:val="32"/>
          <w:szCs w:val="32"/>
        </w:rPr>
        <w:t xml:space="preserve">各二级工会要提高站位，从履行群团组织职责、服务中心大局的角度出发，进一步扩展教职工疗休养活动的功能内涵。要通过参观革命传统和爱国主义教育基地、工运史馆、博物馆、纪念馆、文化空间等，将疗休养活动与政治领航铸魂行动结合起来，激发疗休养人员爱党爱国爱人民的情怀和劳动创造热情。要通过报告、讲座、研讨等形式，创造同行交流、相互学习等机会，促进疗休养人员互相启发、共同提高。 </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六、疗休养时间</w:t>
      </w:r>
    </w:p>
    <w:p w:rsidR="00D776A3" w:rsidRDefault="00E154E7">
      <w:pPr>
        <w:adjustRightInd w:val="0"/>
        <w:snapToGrid w:val="0"/>
        <w:spacing w:line="540" w:lineRule="exact"/>
        <w:ind w:firstLineChars="200" w:firstLine="640"/>
        <w:rPr>
          <w:rFonts w:ascii="仿宋" w:eastAsia="仿宋" w:hAnsi="仿宋" w:cs="方正仿宋_GB2312"/>
          <w:kern w:val="0"/>
          <w:sz w:val="32"/>
          <w:szCs w:val="32"/>
        </w:rPr>
      </w:pPr>
      <w:r>
        <w:rPr>
          <w:rFonts w:ascii="仿宋" w:eastAsia="仿宋" w:hAnsi="仿宋" w:cs="方正仿宋_GB2312" w:hint="eastAsia"/>
          <w:kern w:val="0"/>
          <w:sz w:val="32"/>
          <w:szCs w:val="32"/>
        </w:rPr>
        <w:t>疗休养活动一般安排在寒暑假期间进行。各二级工会要根据本单位实际和教职工需求，以不影响正常工作为前提，统筹安排、合理确定疗休养的时间与批次。每次疗休养活动时间一般不超过5天(含在途时间)。赴对口支援(帮扶、合作)省(市、自治区)疗休养的，因交通原因可视情况适当延长在途时间，但需经校工会同意。疗休养活动原则上不占用工作日，如遇法定休假或休息日，不安排补休。</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七、疗休养费用</w:t>
      </w:r>
    </w:p>
    <w:p w:rsidR="00D776A3" w:rsidRDefault="00E154E7">
      <w:pPr>
        <w:widowControl/>
        <w:adjustRightInd w:val="0"/>
        <w:snapToGrid w:val="0"/>
        <w:spacing w:line="560" w:lineRule="exact"/>
        <w:ind w:firstLineChars="200" w:firstLine="640"/>
        <w:jc w:val="left"/>
        <w:rPr>
          <w:rFonts w:ascii="仿宋" w:eastAsia="仿宋" w:hAnsi="仿宋" w:cs="方正仿宋_GB2312"/>
          <w:kern w:val="0"/>
          <w:sz w:val="32"/>
          <w:szCs w:val="32"/>
        </w:rPr>
      </w:pPr>
      <w:r>
        <w:rPr>
          <w:rFonts w:ascii="仿宋" w:eastAsia="仿宋" w:hAnsi="仿宋" w:cs="方正仿宋_GB2312" w:hint="eastAsia"/>
          <w:bCs/>
          <w:sz w:val="32"/>
          <w:szCs w:val="32"/>
        </w:rPr>
        <w:lastRenderedPageBreak/>
        <w:t>全校在职在编教职工疗休养经费标准为每人每年不超过3000元，</w:t>
      </w:r>
      <w:r>
        <w:rPr>
          <w:rFonts w:ascii="仿宋" w:eastAsia="仿宋" w:hAnsi="仿宋" w:cs="方正仿宋_GB2312" w:hint="eastAsia"/>
          <w:kern w:val="0"/>
          <w:sz w:val="32"/>
          <w:szCs w:val="32"/>
        </w:rPr>
        <w:t>主要用于疗休养期间的交通费、住宿费、伙食费、保险费及相关活动费用等，统一在校福利费中列支。实际发生费用超过学校标准的，超额部分由教职工自理。疗休养经费仅限本人当年使用，不得冒名顶替或转让。</w:t>
      </w:r>
    </w:p>
    <w:p w:rsidR="00D776A3" w:rsidRDefault="00E154E7">
      <w:pPr>
        <w:adjustRightInd w:val="0"/>
        <w:snapToGrid w:val="0"/>
        <w:spacing w:line="540" w:lineRule="exact"/>
        <w:ind w:firstLineChars="200" w:firstLine="640"/>
        <w:rPr>
          <w:rFonts w:ascii="黑体" w:eastAsia="黑体" w:hAnsi="黑体" w:cs="方正仿宋_GB2312"/>
          <w:kern w:val="0"/>
          <w:sz w:val="32"/>
          <w:szCs w:val="32"/>
        </w:rPr>
      </w:pPr>
      <w:r>
        <w:rPr>
          <w:rFonts w:ascii="黑体" w:eastAsia="黑体" w:hAnsi="黑体" w:cs="方正仿宋_GB2312" w:hint="eastAsia"/>
          <w:kern w:val="0"/>
          <w:sz w:val="32"/>
          <w:szCs w:val="32"/>
        </w:rPr>
        <w:t>八、有关要求</w:t>
      </w:r>
    </w:p>
    <w:p w:rsidR="00D776A3" w:rsidRDefault="00E154E7">
      <w:pPr>
        <w:adjustRightInd w:val="0"/>
        <w:snapToGrid w:val="0"/>
        <w:spacing w:line="540" w:lineRule="exact"/>
        <w:ind w:firstLineChars="200" w:firstLine="640"/>
        <w:rPr>
          <w:rFonts w:ascii="方正仿宋_GB2312" w:eastAsia="方正仿宋_GB2312" w:hAnsi="方正仿宋_GB2312" w:cs="方正仿宋_GB2312"/>
          <w:kern w:val="0"/>
          <w:sz w:val="32"/>
          <w:szCs w:val="32"/>
        </w:rPr>
      </w:pPr>
      <w:r>
        <w:rPr>
          <w:rFonts w:ascii="楷体" w:eastAsia="楷体" w:hAnsi="楷体" w:cs="方正仿宋_GB2312" w:hint="eastAsia"/>
          <w:bCs/>
          <w:kern w:val="0"/>
          <w:sz w:val="32"/>
          <w:szCs w:val="32"/>
        </w:rPr>
        <w:t>1.严格执行疗休养纪律。</w:t>
      </w:r>
      <w:r>
        <w:rPr>
          <w:rFonts w:ascii="仿宋" w:eastAsia="仿宋" w:hAnsi="仿宋" w:cs="方正仿宋_GB2312" w:hint="eastAsia"/>
          <w:kern w:val="0"/>
          <w:sz w:val="32"/>
          <w:szCs w:val="32"/>
        </w:rPr>
        <w:t>要按照国家有关法律法规和中央廉政建设、作风建设、厉行节约反对浪费等有关规定，规范疗休养内容和时间，严格执行费用标准，做到票据合规、开支合法、符合要求。正确把握疗休养政策，禁止以疗休养为名变相公款旅游或发放钱物。对违反有关规定的，及时批评教育和督促纠正；情节严重的，追究相关人员的纪律责任。</w:t>
      </w:r>
    </w:p>
    <w:p w:rsidR="00D776A3" w:rsidRDefault="00E154E7">
      <w:pPr>
        <w:adjustRightInd w:val="0"/>
        <w:snapToGrid w:val="0"/>
        <w:spacing w:line="540" w:lineRule="exact"/>
        <w:ind w:firstLineChars="200" w:firstLine="640"/>
        <w:rPr>
          <w:rFonts w:ascii="仿宋" w:eastAsia="仿宋" w:hAnsi="仿宋" w:cs="方正仿宋_GB2312"/>
          <w:kern w:val="0"/>
          <w:sz w:val="32"/>
          <w:szCs w:val="32"/>
        </w:rPr>
      </w:pPr>
      <w:r>
        <w:rPr>
          <w:rFonts w:ascii="楷体" w:eastAsia="楷体" w:hAnsi="楷体" w:cs="方正仿宋_GB2312" w:hint="eastAsia"/>
          <w:bCs/>
          <w:kern w:val="0"/>
          <w:sz w:val="32"/>
          <w:szCs w:val="32"/>
        </w:rPr>
        <w:t>2.切实保障疗休养安全。</w:t>
      </w:r>
      <w:r>
        <w:rPr>
          <w:rFonts w:ascii="仿宋" w:eastAsia="仿宋" w:hAnsi="仿宋" w:cs="方正仿宋_GB2312" w:hint="eastAsia"/>
          <w:kern w:val="0"/>
          <w:sz w:val="32"/>
          <w:szCs w:val="32"/>
        </w:rPr>
        <w:t>树立安全风险意识、责任意识，把人身安全放在疗休养活动的第一位，对交通安全、饮食安全等集体安全问题必须落实防范措施，建立应急预案。为每位参加人员购买保障金额不低于100万元的人身意外保险，乘坐飞机、火车、汽车、轮船等公共交通工具的，必须购买公共交通意外保险。每条线路领队必须要对参加疗休养活动的教职工进行行前安全教育，行中加强安全管理，要和承接旅行社及时沟通。</w:t>
      </w:r>
    </w:p>
    <w:p w:rsidR="00D776A3" w:rsidRDefault="00E154E7">
      <w:pPr>
        <w:adjustRightInd w:val="0"/>
        <w:snapToGrid w:val="0"/>
        <w:spacing w:line="540" w:lineRule="exact"/>
        <w:ind w:firstLineChars="200" w:firstLine="640"/>
        <w:rPr>
          <w:rFonts w:ascii="仿宋" w:eastAsia="仿宋" w:hAnsi="仿宋" w:cs="方正仿宋_GB2312"/>
          <w:kern w:val="0"/>
          <w:sz w:val="32"/>
          <w:szCs w:val="32"/>
        </w:rPr>
      </w:pPr>
      <w:r>
        <w:rPr>
          <w:rFonts w:ascii="楷体" w:eastAsia="楷体" w:hAnsi="楷体" w:cs="方正仿宋_GB2312" w:hint="eastAsia"/>
          <w:bCs/>
          <w:kern w:val="0"/>
          <w:sz w:val="32"/>
          <w:szCs w:val="32"/>
        </w:rPr>
        <w:t>3.有效统筹疗休养事务。</w:t>
      </w:r>
      <w:r>
        <w:rPr>
          <w:rFonts w:ascii="仿宋" w:eastAsia="仿宋" w:hAnsi="仿宋" w:cs="方正仿宋_GB2312" w:hint="eastAsia"/>
          <w:kern w:val="0"/>
          <w:sz w:val="32"/>
          <w:szCs w:val="32"/>
        </w:rPr>
        <w:t>各二级工会根据有关规定和教职工需求选订线路并组织实施，人数较多的线路可分多个团，每个团均要确定领队一名，负责做好疗休养团队的管理和有关服务工作。关注疗休养承接旅行社的服务质量，对工作不到位、忽视教职工利益的承接旅行社，应将其列入本校教职工疗休养承接旅行社黑名单。</w:t>
      </w:r>
    </w:p>
    <w:p w:rsidR="00D776A3" w:rsidRDefault="00E154E7">
      <w:pPr>
        <w:adjustRightInd w:val="0"/>
        <w:snapToGrid w:val="0"/>
        <w:spacing w:line="540" w:lineRule="exact"/>
        <w:ind w:firstLineChars="200" w:firstLine="640"/>
        <w:rPr>
          <w:rFonts w:ascii="仿宋" w:eastAsia="仿宋" w:hAnsi="仿宋" w:cs="方正仿宋_GB2312"/>
          <w:kern w:val="0"/>
          <w:sz w:val="32"/>
          <w:szCs w:val="32"/>
        </w:rPr>
      </w:pPr>
      <w:r>
        <w:rPr>
          <w:rFonts w:ascii="仿宋" w:eastAsia="仿宋" w:hAnsi="仿宋" w:cs="方正仿宋_GB2312" w:hint="eastAsia"/>
          <w:kern w:val="0"/>
          <w:sz w:val="32"/>
          <w:szCs w:val="32"/>
        </w:rPr>
        <w:t>本《意见》自发布之日起执行。之前有关教职工疗休养规定与</w:t>
      </w:r>
      <w:r>
        <w:rPr>
          <w:rFonts w:ascii="仿宋" w:eastAsia="仿宋" w:hAnsi="仿宋" w:cs="方正仿宋_GB2312" w:hint="eastAsia"/>
          <w:kern w:val="0"/>
          <w:sz w:val="32"/>
          <w:szCs w:val="32"/>
        </w:rPr>
        <w:lastRenderedPageBreak/>
        <w:t>本《意见》不符的，以本《意见》为准；本《意见》未涉及的，仍按原规定或上级工会有关要求执行。</w:t>
      </w:r>
    </w:p>
    <w:p w:rsidR="00D776A3" w:rsidRDefault="00D776A3">
      <w:pPr>
        <w:adjustRightInd w:val="0"/>
        <w:snapToGrid w:val="0"/>
        <w:spacing w:line="540" w:lineRule="exact"/>
        <w:ind w:leftChars="2000" w:left="4200"/>
        <w:jc w:val="center"/>
        <w:rPr>
          <w:rFonts w:ascii="仿宋" w:eastAsia="仿宋" w:hAnsi="仿宋" w:cs="方正仿宋_GB2312"/>
          <w:kern w:val="0"/>
          <w:sz w:val="32"/>
          <w:szCs w:val="32"/>
        </w:rPr>
      </w:pPr>
    </w:p>
    <w:p w:rsidR="00D776A3" w:rsidRDefault="00D776A3">
      <w:pPr>
        <w:adjustRightInd w:val="0"/>
        <w:snapToGrid w:val="0"/>
        <w:spacing w:line="540" w:lineRule="exact"/>
        <w:rPr>
          <w:rFonts w:ascii="仿宋" w:eastAsia="仿宋" w:hAnsi="仿宋" w:cs="方正仿宋_GB2312"/>
          <w:kern w:val="0"/>
          <w:sz w:val="32"/>
          <w:szCs w:val="32"/>
        </w:rPr>
      </w:pPr>
    </w:p>
    <w:p w:rsidR="00D776A3" w:rsidRDefault="00D776A3">
      <w:pPr>
        <w:adjustRightInd w:val="0"/>
        <w:snapToGrid w:val="0"/>
        <w:spacing w:line="540" w:lineRule="exact"/>
        <w:ind w:leftChars="2000" w:left="4200"/>
        <w:jc w:val="center"/>
        <w:rPr>
          <w:rFonts w:ascii="仿宋" w:eastAsia="仿宋" w:hAnsi="仿宋" w:cs="方正仿宋_GB2312"/>
          <w:kern w:val="0"/>
          <w:sz w:val="32"/>
          <w:szCs w:val="32"/>
        </w:rPr>
      </w:pPr>
    </w:p>
    <w:p w:rsidR="00D776A3" w:rsidRDefault="00E154E7">
      <w:pPr>
        <w:adjustRightInd w:val="0"/>
        <w:snapToGrid w:val="0"/>
        <w:spacing w:line="540" w:lineRule="exact"/>
        <w:ind w:leftChars="2000" w:left="4200"/>
        <w:jc w:val="center"/>
        <w:rPr>
          <w:rFonts w:ascii="仿宋" w:eastAsia="仿宋" w:hAnsi="仿宋" w:cs="方正仿宋_GB2312"/>
          <w:kern w:val="0"/>
          <w:sz w:val="32"/>
          <w:szCs w:val="32"/>
        </w:rPr>
      </w:pPr>
      <w:r>
        <w:rPr>
          <w:rFonts w:ascii="仿宋" w:eastAsia="仿宋" w:hAnsi="仿宋" w:cs="方正仿宋_GB2312" w:hint="eastAsia"/>
          <w:kern w:val="0"/>
          <w:sz w:val="32"/>
          <w:szCs w:val="32"/>
        </w:rPr>
        <w:t>中国教育工会浙江师范大学委员会</w:t>
      </w:r>
    </w:p>
    <w:p w:rsidR="00D776A3" w:rsidRDefault="00E154E7">
      <w:pPr>
        <w:adjustRightInd w:val="0"/>
        <w:snapToGrid w:val="0"/>
        <w:spacing w:line="540" w:lineRule="exact"/>
        <w:ind w:leftChars="2000" w:left="4200"/>
        <w:jc w:val="center"/>
        <w:rPr>
          <w:rFonts w:ascii="宋体" w:eastAsia="仿宋" w:hAnsi="宋体" w:cs="宋体"/>
          <w:sz w:val="28"/>
          <w:szCs w:val="28"/>
        </w:rPr>
        <w:sectPr w:rsidR="00D776A3">
          <w:footerReference w:type="default" r:id="rId8"/>
          <w:pgSz w:w="11906" w:h="16838"/>
          <w:pgMar w:top="1383" w:right="1349" w:bottom="1383" w:left="1349" w:header="851" w:footer="992" w:gutter="0"/>
          <w:cols w:space="425"/>
          <w:docGrid w:type="lines" w:linePitch="312"/>
        </w:sectPr>
      </w:pPr>
      <w:r>
        <w:rPr>
          <w:rFonts w:ascii="仿宋" w:eastAsia="仿宋" w:hAnsi="仿宋" w:cs="方正仿宋_GB2312" w:hint="eastAsia"/>
          <w:kern w:val="0"/>
          <w:sz w:val="32"/>
          <w:szCs w:val="32"/>
        </w:rPr>
        <w:t>2024年5月15日</w:t>
      </w:r>
    </w:p>
    <w:p w:rsidR="00D776A3" w:rsidRDefault="00D776A3">
      <w:pPr>
        <w:widowControl/>
        <w:numPr>
          <w:ilvl w:val="255"/>
          <w:numId w:val="0"/>
        </w:numPr>
        <w:spacing w:line="480" w:lineRule="exact"/>
        <w:rPr>
          <w:rFonts w:ascii="宋体" w:eastAsia="宋体" w:hAnsi="宋体" w:cs="宋体"/>
          <w:sz w:val="28"/>
          <w:szCs w:val="28"/>
          <w:lang w:eastAsia="en-US"/>
        </w:rPr>
      </w:pPr>
    </w:p>
    <w:sectPr w:rsidR="00D776A3">
      <w:pgSz w:w="11906" w:h="16838"/>
      <w:pgMar w:top="1383" w:right="1349" w:bottom="1383" w:left="134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4C1" w:rsidRDefault="00C064C1">
      <w:r>
        <w:separator/>
      </w:r>
    </w:p>
  </w:endnote>
  <w:endnote w:type="continuationSeparator" w:id="0">
    <w:p w:rsidR="00C064C1" w:rsidRDefault="00C0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75E25740-EAF5-45D3-BA8A-2DD954DFE988}"/>
  </w:font>
  <w:font w:name="仿宋">
    <w:panose1 w:val="02010609060101010101"/>
    <w:charset w:val="86"/>
    <w:family w:val="modern"/>
    <w:pitch w:val="fixed"/>
    <w:sig w:usb0="800002BF" w:usb1="38CF7CFA" w:usb2="00000016" w:usb3="00000000" w:csb0="00040001" w:csb1="00000000"/>
    <w:embedRegular r:id="rId2" w:subsetted="1" w:fontKey="{1C65DEBF-61CF-4DA3-BF14-DF10EBE70FA5}"/>
  </w:font>
  <w:font w:name="Helvetica">
    <w:panose1 w:val="020B0604020202020204"/>
    <w:charset w:val="00"/>
    <w:family w:val="swiss"/>
    <w:notTrueType/>
    <w:pitch w:val="variable"/>
    <w:sig w:usb0="00000003" w:usb1="00000000" w:usb2="00000000" w:usb3="00000000" w:csb0="00000001" w:csb1="00000000"/>
  </w:font>
  <w:font w:name="方正大标宋简体">
    <w:panose1 w:val="03000509000000000000"/>
    <w:charset w:val="86"/>
    <w:family w:val="script"/>
    <w:pitch w:val="fixed"/>
    <w:sig w:usb0="00000003" w:usb1="080E0000" w:usb2="00000010" w:usb3="00000000" w:csb0="00040001" w:csb1="00000000"/>
    <w:embedRegular r:id="rId3" w:subsetted="1" w:fontKey="{CC9C979D-9E74-4138-99FA-BEC3B7FC0072}"/>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4" w:subsetted="1" w:fontKey="{AF2CCBC4-8DE9-4DC0-BA65-963216F485D5}"/>
  </w:font>
  <w:font w:name="楷体">
    <w:panose1 w:val="02010609060101010101"/>
    <w:charset w:val="86"/>
    <w:family w:val="modern"/>
    <w:pitch w:val="fixed"/>
    <w:sig w:usb0="800002BF" w:usb1="38CF7CFA" w:usb2="00000016" w:usb3="00000000" w:csb0="00040001" w:csb1="00000000"/>
    <w:embedRegular r:id="rId5" w:subsetted="1" w:fontKey="{AE7B6E1E-F24E-458D-83C3-C2D71C348297}"/>
  </w:font>
  <w:font w:name="方正仿宋_GB2312">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6" w:subsetted="1" w:fontKey="{61BBFCFA-EE7C-4447-9224-7B22CD08E16B}"/>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A3" w:rsidRDefault="00E154E7">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76A3" w:rsidRDefault="00E154E7">
                          <w:pPr>
                            <w:pStyle w:val="a5"/>
                          </w:pPr>
                          <w:r>
                            <w:fldChar w:fldCharType="begin"/>
                          </w:r>
                          <w:r>
                            <w:instrText xml:space="preserve"> PAGE  \* MERGEFORMAT </w:instrText>
                          </w:r>
                          <w:r>
                            <w:fldChar w:fldCharType="separate"/>
                          </w:r>
                          <w:r w:rsidR="00957C64">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776A3" w:rsidRDefault="00E154E7">
                    <w:pPr>
                      <w:pStyle w:val="a5"/>
                    </w:pPr>
                    <w:r>
                      <w:fldChar w:fldCharType="begin"/>
                    </w:r>
                    <w:r>
                      <w:instrText xml:space="preserve"> PAGE  \* MERGEFORMAT </w:instrText>
                    </w:r>
                    <w:r>
                      <w:fldChar w:fldCharType="separate"/>
                    </w:r>
                    <w:r w:rsidR="00957C6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4C1" w:rsidRDefault="00C064C1">
      <w:r>
        <w:separator/>
      </w:r>
    </w:p>
  </w:footnote>
  <w:footnote w:type="continuationSeparator" w:id="0">
    <w:p w:rsidR="00C064C1" w:rsidRDefault="00C06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750A32"/>
    <w:multiLevelType w:val="singleLevel"/>
    <w:tmpl w:val="DB750A32"/>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YzVjYjc3ZjM2MmEwOGNlNzBiOTVmNTM5NTlmNTEifQ=="/>
  </w:docVars>
  <w:rsids>
    <w:rsidRoot w:val="35A80FAD"/>
    <w:rsid w:val="006720FF"/>
    <w:rsid w:val="00723AFB"/>
    <w:rsid w:val="00851005"/>
    <w:rsid w:val="00957C64"/>
    <w:rsid w:val="009C7162"/>
    <w:rsid w:val="00C064C1"/>
    <w:rsid w:val="00C21301"/>
    <w:rsid w:val="00C6298D"/>
    <w:rsid w:val="00D776A3"/>
    <w:rsid w:val="00DD397F"/>
    <w:rsid w:val="00E154E7"/>
    <w:rsid w:val="00EE4777"/>
    <w:rsid w:val="045A79F5"/>
    <w:rsid w:val="07DE24CD"/>
    <w:rsid w:val="08D35DAA"/>
    <w:rsid w:val="0C6C7B44"/>
    <w:rsid w:val="0E876192"/>
    <w:rsid w:val="0EA06B0E"/>
    <w:rsid w:val="0EEC4007"/>
    <w:rsid w:val="10CD7D12"/>
    <w:rsid w:val="124D2729"/>
    <w:rsid w:val="12A75328"/>
    <w:rsid w:val="137F6D68"/>
    <w:rsid w:val="14EA0A26"/>
    <w:rsid w:val="15772F10"/>
    <w:rsid w:val="183C554F"/>
    <w:rsid w:val="18CE5C46"/>
    <w:rsid w:val="19132319"/>
    <w:rsid w:val="1B670CB1"/>
    <w:rsid w:val="1C0531BA"/>
    <w:rsid w:val="1C731CA9"/>
    <w:rsid w:val="1EF52FBA"/>
    <w:rsid w:val="23C44107"/>
    <w:rsid w:val="24F21193"/>
    <w:rsid w:val="26067022"/>
    <w:rsid w:val="26290229"/>
    <w:rsid w:val="26B57728"/>
    <w:rsid w:val="26DA1ECF"/>
    <w:rsid w:val="27054F28"/>
    <w:rsid w:val="27A110F5"/>
    <w:rsid w:val="27DB18B9"/>
    <w:rsid w:val="2A35454B"/>
    <w:rsid w:val="2A783AB2"/>
    <w:rsid w:val="2D115236"/>
    <w:rsid w:val="2F746702"/>
    <w:rsid w:val="2F943956"/>
    <w:rsid w:val="31005355"/>
    <w:rsid w:val="31F01BD0"/>
    <w:rsid w:val="354A329F"/>
    <w:rsid w:val="35A80FAD"/>
    <w:rsid w:val="36380E96"/>
    <w:rsid w:val="38582E0B"/>
    <w:rsid w:val="386B7EC4"/>
    <w:rsid w:val="39B2551A"/>
    <w:rsid w:val="3AB24F6F"/>
    <w:rsid w:val="3AE570F3"/>
    <w:rsid w:val="3B2B0103"/>
    <w:rsid w:val="40C11AC7"/>
    <w:rsid w:val="44670B79"/>
    <w:rsid w:val="44EE7432"/>
    <w:rsid w:val="468162E0"/>
    <w:rsid w:val="48660D02"/>
    <w:rsid w:val="49394B95"/>
    <w:rsid w:val="4D69668F"/>
    <w:rsid w:val="4E692550"/>
    <w:rsid w:val="50C57353"/>
    <w:rsid w:val="515F64B8"/>
    <w:rsid w:val="528B637A"/>
    <w:rsid w:val="537E14DE"/>
    <w:rsid w:val="55515659"/>
    <w:rsid w:val="560763DB"/>
    <w:rsid w:val="56843139"/>
    <w:rsid w:val="581F4701"/>
    <w:rsid w:val="584C5D92"/>
    <w:rsid w:val="58753DC5"/>
    <w:rsid w:val="5A4968FF"/>
    <w:rsid w:val="5A5A5E83"/>
    <w:rsid w:val="5C9368A8"/>
    <w:rsid w:val="5C97763D"/>
    <w:rsid w:val="5C993907"/>
    <w:rsid w:val="5D446039"/>
    <w:rsid w:val="5E1F195D"/>
    <w:rsid w:val="60D8661E"/>
    <w:rsid w:val="64A01811"/>
    <w:rsid w:val="664B69DE"/>
    <w:rsid w:val="66637D88"/>
    <w:rsid w:val="687B6875"/>
    <w:rsid w:val="6AAB7162"/>
    <w:rsid w:val="6B7439F8"/>
    <w:rsid w:val="6B88117D"/>
    <w:rsid w:val="6C4A2F7E"/>
    <w:rsid w:val="6CA80DD0"/>
    <w:rsid w:val="6D07231F"/>
    <w:rsid w:val="6DF57072"/>
    <w:rsid w:val="6E985C4F"/>
    <w:rsid w:val="6F645466"/>
    <w:rsid w:val="703218BA"/>
    <w:rsid w:val="719360E4"/>
    <w:rsid w:val="7218618D"/>
    <w:rsid w:val="73E402C9"/>
    <w:rsid w:val="73E572C7"/>
    <w:rsid w:val="743401C8"/>
    <w:rsid w:val="77826C83"/>
    <w:rsid w:val="791B51C1"/>
    <w:rsid w:val="7F68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254FD5-8315-4BE9-B0A0-1567A2CC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eastAsia="仿宋" w:hAnsi="仿宋" w:cs="仿宋"/>
      <w:sz w:val="31"/>
      <w:szCs w:val="31"/>
      <w:lang w:eastAsia="en-US"/>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71">
    <w:name w:val="font7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Helvetica" w:eastAsia="Helvetica" w:hAnsi="Helvetica" w:cs="Helvetica"/>
      <w:color w:val="000000"/>
      <w:sz w:val="21"/>
      <w:szCs w:val="21"/>
      <w:u w:val="none"/>
    </w:rPr>
  </w:style>
  <w:style w:type="paragraph" w:styleId="a9">
    <w:name w:val="Balloon Text"/>
    <w:basedOn w:val="a"/>
    <w:link w:val="Char"/>
    <w:rsid w:val="00DD397F"/>
    <w:rPr>
      <w:sz w:val="18"/>
      <w:szCs w:val="18"/>
    </w:rPr>
  </w:style>
  <w:style w:type="character" w:customStyle="1" w:styleId="Char">
    <w:name w:val="批注框文本 Char"/>
    <w:basedOn w:val="a0"/>
    <w:link w:val="a9"/>
    <w:rsid w:val="00DD39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毛晓青</dc:creator>
  <cp:lastModifiedBy>工会秘书(胡秀敏)</cp:lastModifiedBy>
  <cp:revision>8</cp:revision>
  <cp:lastPrinted>2026-06-25T06:10:00Z</cp:lastPrinted>
  <dcterms:created xsi:type="dcterms:W3CDTF">2024-04-22T02:40:00Z</dcterms:created>
  <dcterms:modified xsi:type="dcterms:W3CDTF">2026-06-26T02:25:00Z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F0CB3BEB432E42D6B65043EDF9F13693_13</vt:lpwstr>
  </property>
  <property fmtid="{D5CDD505-2E9C-101B-9397-08002B2CF9AE}" pid="4" name="KSOTemplateDocerSaveRecord">
    <vt:lpwstr>eyJoZGlkIjoiMjk0YzVjYjc3ZjM2MmEwOGNlNzBiOTVmNTM5NTlmNTEiLCJ1c2VySWQiOiI0MjExNDYxNzcifQ==</vt:lpwstr>
  </property>
</Properties>
</file>